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Times New Roman" w:hAnsi="Times New Roman" w:cs="Times New Roman" w:eastAsia="Times New Roman"/>
          <w:b/>
          <w:color w:val="000000"/>
          <w:spacing w:val="0"/>
          <w:position w:val="0"/>
          <w:sz w:val="16"/>
          <w:shd w:fill="auto" w:val="clear"/>
        </w:rPr>
      </w:pPr>
    </w:p>
    <w:p>
      <w:pPr>
        <w:spacing w:before="0" w:after="0" w:line="240"/>
        <w:ind w:right="0" w:left="0" w:firstLine="708"/>
        <w:jc w:val="both"/>
        <w:rPr>
          <w:rFonts w:ascii="Conv_PFDINTEXTCONDPRO-MEDIUM" w:hAnsi="Conv_PFDINTEXTCONDPRO-MEDIUM" w:cs="Conv_PFDINTEXTCONDPRO-MEDIUM" w:eastAsia="Conv_PFDINTEXTCONDPRO-MEDIUM"/>
          <w:b/>
          <w:color w:val="000000"/>
          <w:spacing w:val="0"/>
          <w:position w:val="0"/>
          <w:sz w:val="26"/>
          <w:shd w:fill="auto" w:val="clear"/>
        </w:rPr>
      </w:pPr>
      <w:r>
        <w:rPr>
          <w:rFonts w:ascii="Conv_PFDINTEXTCONDPRO-MEDIUM" w:hAnsi="Conv_PFDINTEXTCONDPRO-MEDIUM" w:cs="Conv_PFDINTEXTCONDPRO-MEDIUM" w:eastAsia="Conv_PFDINTEXTCONDPRO-MEDIUM"/>
          <w:b/>
          <w:color w:val="000000"/>
          <w:spacing w:val="0"/>
          <w:position w:val="0"/>
          <w:sz w:val="26"/>
          <w:shd w:fill="auto" w:val="clear"/>
        </w:rPr>
        <w:t xml:space="preserve">«</w:t>
      </w:r>
      <w:r>
        <w:rPr>
          <w:rFonts w:ascii="Calibri" w:hAnsi="Calibri" w:cs="Calibri" w:eastAsia="Calibri"/>
          <w:b/>
          <w:color w:val="000000"/>
          <w:spacing w:val="0"/>
          <w:position w:val="0"/>
          <w:sz w:val="26"/>
          <w:shd w:fill="auto" w:val="clear"/>
        </w:rPr>
        <w:t xml:space="preserve">О</w:t>
      </w:r>
      <w:r>
        <w:rPr>
          <w:rFonts w:ascii="Conv_PFDINTEXTCONDPRO-MEDIUM" w:hAnsi="Conv_PFDINTEXTCONDPRO-MEDIUM" w:cs="Conv_PFDINTEXTCONDPRO-MEDIUM" w:eastAsia="Conv_PFDINTEXTCONDPRO-MEDIUM"/>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распространении</w:t>
      </w:r>
      <w:r>
        <w:rPr>
          <w:rFonts w:ascii="Conv_PFDINTEXTCONDPRO-MEDIUM" w:hAnsi="Conv_PFDINTEXTCONDPRO-MEDIUM" w:cs="Conv_PFDINTEXTCONDPRO-MEDIUM" w:eastAsia="Conv_PFDINTEXTCONDPRO-MEDIUM"/>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ложной</w:t>
      </w:r>
      <w:r>
        <w:rPr>
          <w:rFonts w:ascii="Conv_PFDINTEXTCONDPRO-MEDIUM" w:hAnsi="Conv_PFDINTEXTCONDPRO-MEDIUM" w:cs="Conv_PFDINTEXTCONDPRO-MEDIUM" w:eastAsia="Conv_PFDINTEXTCONDPRO-MEDIUM"/>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информации</w:t>
      </w:r>
      <w:r>
        <w:rPr>
          <w:rFonts w:ascii="Conv_PFDINTEXTCONDPRO-MEDIUM" w:hAnsi="Conv_PFDINTEXTCONDPRO-MEDIUM" w:cs="Conv_PFDINTEXTCONDPRO-MEDIUM" w:eastAsia="Conv_PFDINTEXTCONDPRO-MEDIUM"/>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о</w:t>
      </w:r>
      <w:r>
        <w:rPr>
          <w:rFonts w:ascii="Conv_PFDINTEXTCONDPRO-MEDIUM" w:hAnsi="Conv_PFDINTEXTCONDPRO-MEDIUM" w:cs="Conv_PFDINTEXTCONDPRO-MEDIUM" w:eastAsia="Conv_PFDINTEXTCONDPRO-MEDIUM"/>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получении</w:t>
      </w:r>
      <w:r>
        <w:rPr>
          <w:rFonts w:ascii="Conv_PFDINTEXTCONDPRO-MEDIUM" w:hAnsi="Conv_PFDINTEXTCONDPRO-MEDIUM" w:cs="Conv_PFDINTEXTCONDPRO-MEDIUM" w:eastAsia="Conv_PFDINTEXTCONDPRO-MEDIUM"/>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вычета</w:t>
      </w:r>
      <w:r>
        <w:rPr>
          <w:rFonts w:ascii="Conv_PFDINTEXTCONDPRO-MEDIUM" w:hAnsi="Conv_PFDINTEXTCONDPRO-MEDIUM" w:cs="Conv_PFDINTEXTCONDPRO-MEDIUM" w:eastAsia="Conv_PFDINTEXTCONDPRO-MEDIUM"/>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на</w:t>
      </w:r>
      <w:r>
        <w:rPr>
          <w:rFonts w:ascii="Conv_PFDINTEXTCONDPRO-MEDIUM" w:hAnsi="Conv_PFDINTEXTCONDPRO-MEDIUM" w:cs="Conv_PFDINTEXTCONDPRO-MEDIUM" w:eastAsia="Conv_PFDINTEXTCONDPRO-MEDIUM"/>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обязательное</w:t>
      </w:r>
      <w:r>
        <w:rPr>
          <w:rFonts w:ascii="Conv_PFDINTEXTCONDPRO-MEDIUM" w:hAnsi="Conv_PFDINTEXTCONDPRO-MEDIUM" w:cs="Conv_PFDINTEXTCONDPRO-MEDIUM" w:eastAsia="Conv_PFDINTEXTCONDPRO-MEDIUM"/>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пенсионное</w:t>
      </w:r>
      <w:r>
        <w:rPr>
          <w:rFonts w:ascii="Conv_PFDINTEXTCONDPRO-MEDIUM" w:hAnsi="Conv_PFDINTEXTCONDPRO-MEDIUM" w:cs="Conv_PFDINTEXTCONDPRO-MEDIUM" w:eastAsia="Conv_PFDINTEXTCONDPRO-MEDIUM"/>
          <w:b/>
          <w:color w:val="000000"/>
          <w:spacing w:val="0"/>
          <w:position w:val="0"/>
          <w:sz w:val="26"/>
          <w:shd w:fill="auto" w:val="clear"/>
        </w:rPr>
        <w:t xml:space="preserve"> </w:t>
      </w:r>
      <w:r>
        <w:rPr>
          <w:rFonts w:ascii="Calibri" w:hAnsi="Calibri" w:cs="Calibri" w:eastAsia="Calibri"/>
          <w:b/>
          <w:color w:val="000000"/>
          <w:spacing w:val="0"/>
          <w:position w:val="0"/>
          <w:sz w:val="26"/>
          <w:shd w:fill="auto" w:val="clear"/>
        </w:rPr>
        <w:t xml:space="preserve">страхование</w:t>
      </w:r>
      <w:r>
        <w:rPr>
          <w:rFonts w:ascii="Conv_PFDINTEXTCONDPRO-MEDIUM" w:hAnsi="Conv_PFDINTEXTCONDPRO-MEDIUM" w:cs="Conv_PFDINTEXTCONDPRO-MEDIUM" w:eastAsia="Conv_PFDINTEXTCONDPRO-MEDIUM"/>
          <w:b/>
          <w:color w:val="000000"/>
          <w:spacing w:val="0"/>
          <w:position w:val="0"/>
          <w:sz w:val="26"/>
          <w:shd w:fill="auto" w:val="clear"/>
        </w:rPr>
        <w:t xml:space="preserve">»</w:t>
      </w:r>
    </w:p>
    <w:p>
      <w:pPr>
        <w:spacing w:before="0" w:after="0" w:line="240"/>
        <w:ind w:right="0" w:left="0" w:firstLine="0"/>
        <w:jc w:val="both"/>
        <w:rPr>
          <w:rFonts w:ascii="Conv_PFDINTEXTCONDPRO-MEDIUM" w:hAnsi="Conv_PFDINTEXTCONDPRO-MEDIUM" w:cs="Conv_PFDINTEXTCONDPRO-MEDIUM" w:eastAsia="Conv_PFDINTEXTCONDPRO-MEDIUM"/>
          <w:b/>
          <w:color w:val="000000"/>
          <w:spacing w:val="0"/>
          <w:position w:val="0"/>
          <w:sz w:val="16"/>
          <w:shd w:fill="auto" w:val="clear"/>
        </w:rPr>
      </w:pPr>
    </w:p>
    <w:p>
      <w:pPr>
        <w:spacing w:before="0" w:after="0" w:line="240"/>
        <w:ind w:right="0" w:left="0" w:firstLine="708"/>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интернете распространяется ложная информация о возможности получения социального налогового вычета по НДФЛ по расходам на пенсионное страхование на основании данных Пенсионного фонда РФ. Соответствующая инструкция распространяется в мессенджерах и социальных сетях.</w:t>
      </w:r>
    </w:p>
    <w:p>
      <w:pPr>
        <w:spacing w:before="0" w:after="0" w:line="240"/>
        <w:ind w:right="0" w:left="0" w:firstLine="708"/>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Так, гражданам предлагается сформировать на Едином портале государственных услуг</w:t>
      </w:r>
      <w:r>
        <w:rPr>
          <w:rFonts w:ascii="Times New Roman" w:hAnsi="Times New Roman" w:cs="Times New Roman" w:eastAsia="Times New Roman"/>
          <w:b/>
          <w:color w:val="000000"/>
          <w:spacing w:val="0"/>
          <w:position w:val="0"/>
          <w:sz w:val="26"/>
          <w:shd w:fill="auto" w:val="clear"/>
        </w:rPr>
        <w:t xml:space="preserve"> </w:t>
      </w:r>
      <w:hyperlink xmlns:r="http://schemas.openxmlformats.org/officeDocument/2006/relationships" r:id="docRId0">
        <w:r>
          <w:rPr>
            <w:rFonts w:ascii="Times New Roman" w:hAnsi="Times New Roman" w:cs="Times New Roman" w:eastAsia="Times New Roman"/>
            <w:b/>
            <w:color w:val="000000"/>
            <w:spacing w:val="0"/>
            <w:position w:val="0"/>
            <w:sz w:val="26"/>
            <w:u w:val="single"/>
            <w:shd w:fill="auto" w:val="clear"/>
          </w:rPr>
          <w:t xml:space="preserve">www.gosuslugi.ru</w:t>
        </w:r>
      </w:hyperlink>
      <w:r>
        <w:rPr>
          <w:rFonts w:ascii="Times New Roman" w:hAnsi="Times New Roman" w:cs="Times New Roman" w:eastAsia="Times New Roman"/>
          <w:color w:val="000000"/>
          <w:spacing w:val="0"/>
          <w:position w:val="0"/>
          <w:sz w:val="26"/>
          <w:shd w:fill="auto" w:val="clear"/>
        </w:rPr>
        <w:t xml:space="preserve"> выписку о состоянии индивидуального лицевого счета застрахованного лица. В качестве суммы расходов для вычета рекомендуется принять данные из нее.</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После этого гражданину предлагается заполнить декларацию по форме 3-НДФЛ с помощью сервиса </w:t>
      </w:r>
      <w:r>
        <w:rPr>
          <w:rFonts w:ascii="Times New Roman" w:hAnsi="Times New Roman" w:cs="Times New Roman" w:eastAsia="Times New Roman"/>
          <w:color w:val="000000"/>
          <w:spacing w:val="0"/>
          <w:position w:val="0"/>
          <w:sz w:val="26"/>
          <w:shd w:fill="auto" w:val="clear"/>
        </w:rPr>
        <w:t xml:space="preserve">«</w:t>
      </w:r>
      <w:hyperlink xmlns:r="http://schemas.openxmlformats.org/officeDocument/2006/relationships" r:id="docRId1">
        <w:r>
          <w:rPr>
            <w:rFonts w:ascii="Times New Roman" w:hAnsi="Times New Roman" w:cs="Times New Roman" w:eastAsia="Times New Roman"/>
            <w:color w:val="000000"/>
            <w:spacing w:val="0"/>
            <w:position w:val="0"/>
            <w:sz w:val="26"/>
            <w:u w:val="single"/>
            <w:shd w:fill="auto" w:val="clear"/>
          </w:rPr>
          <w:t xml:space="preserve">Личный кабинет налогоплательщика для физических лиц</w:t>
        </w:r>
      </w:hyperlink>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Такая льгота заявляется как социальный вычет по дополнительным взносам на накопительную пенсию.</w:t>
      </w:r>
    </w:p>
    <w:p>
      <w:pPr>
        <w:spacing w:before="0" w:after="0" w:line="240"/>
        <w:ind w:right="0" w:left="0" w:firstLine="708"/>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Межрайонная ИФНС России </w:t>
      </w:r>
      <w:r>
        <w:rPr>
          <w:rFonts w:ascii="Segoe UI Symbol" w:hAnsi="Segoe UI Symbol" w:cs="Segoe UI Symbol" w:eastAsia="Segoe UI Symbol"/>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 5 </w:t>
      </w:r>
      <w:r>
        <w:rPr>
          <w:rFonts w:ascii="Times New Roman" w:hAnsi="Times New Roman" w:cs="Times New Roman" w:eastAsia="Times New Roman"/>
          <w:color w:val="000000"/>
          <w:spacing w:val="0"/>
          <w:position w:val="0"/>
          <w:sz w:val="26"/>
          <w:shd w:fill="auto" w:val="clear"/>
        </w:rPr>
        <w:t xml:space="preserve">по Белгородской области предупреждает, что вышеуказанный порядок получения социального вычета противоречит налоговому законодательству. Претендовать на социальный вычет могут те граждане, которые решили самостоятельно увеличить размер своей пенсии. Для этого они уплачивают дополнительные страховые взносы на накопительную пенсию в соответствии с </w:t>
      </w:r>
      <w:hyperlink xmlns:r="http://schemas.openxmlformats.org/officeDocument/2006/relationships" r:id="docRId2">
        <w:r>
          <w:rPr>
            <w:rFonts w:ascii="Times New Roman" w:hAnsi="Times New Roman" w:cs="Times New Roman" w:eastAsia="Times New Roman"/>
            <w:color w:val="000000"/>
            <w:spacing w:val="0"/>
            <w:position w:val="0"/>
            <w:sz w:val="26"/>
            <w:u w:val="single"/>
            <w:shd w:fill="auto" w:val="clear"/>
          </w:rPr>
          <w:t xml:space="preserve">Федеральным законом от 30.04.2008 г. </w:t>
        </w:r>
        <w:r>
          <w:rPr>
            <w:rFonts w:ascii="Segoe UI Symbol" w:hAnsi="Segoe UI Symbol" w:cs="Segoe UI Symbol" w:eastAsia="Segoe UI Symbol"/>
            <w:color w:val="000000"/>
            <w:spacing w:val="0"/>
            <w:position w:val="0"/>
            <w:sz w:val="26"/>
            <w:u w:val="single"/>
            <w:shd w:fill="auto" w:val="clear"/>
          </w:rPr>
          <w:t xml:space="preserve">№</w:t>
        </w:r>
        <w:r>
          <w:rPr>
            <w:rFonts w:ascii="Times New Roman" w:hAnsi="Times New Roman" w:cs="Times New Roman" w:eastAsia="Times New Roman"/>
            <w:color w:val="000000"/>
            <w:spacing w:val="0"/>
            <w:position w:val="0"/>
            <w:sz w:val="26"/>
            <w:u w:val="single"/>
            <w:shd w:fill="auto" w:val="clear"/>
          </w:rPr>
          <w:t xml:space="preserve"> 56-ФЗ</w:t>
        </w:r>
      </w:hyperlink>
      <w:r>
        <w:rPr>
          <w:rFonts w:ascii="Times New Roman" w:hAnsi="Times New Roman" w:cs="Times New Roman" w:eastAsia="Times New Roman"/>
          <w:color w:val="000000"/>
          <w:spacing w:val="0"/>
          <w:position w:val="0"/>
          <w:sz w:val="26"/>
          <w:shd w:fill="auto" w:val="clear"/>
        </w:rPr>
        <w:t xml:space="preserve">.</w:t>
      </w:r>
    </w:p>
    <w:p>
      <w:pPr>
        <w:spacing w:before="0" w:after="0" w:line="240"/>
        <w:ind w:right="0" w:left="0" w:firstLine="708"/>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Налогоплательщик может заявить данный вычет, предоставив документы, подтверждающие его фактические расходы по уплате дополнительных страховых взносов на накопительную пенсию. Например, копию договора с негосударственным пенсионным фондом и копии платежных документов, подтверждающих самостоятельную уплату взносов. Еще одним подтверждающим документом служит справка от работодателя (налогового агента) об удержании и перечислении сумм таких взносов по поручению физического лица, которая выдается по утвержденной </w:t>
      </w:r>
      <w:hyperlink xmlns:r="http://schemas.openxmlformats.org/officeDocument/2006/relationships" r:id="docRId3">
        <w:r>
          <w:rPr>
            <w:rFonts w:ascii="Times New Roman" w:hAnsi="Times New Roman" w:cs="Times New Roman" w:eastAsia="Times New Roman"/>
            <w:color w:val="000000"/>
            <w:spacing w:val="0"/>
            <w:position w:val="0"/>
            <w:sz w:val="26"/>
            <w:u w:val="single"/>
            <w:shd w:fill="auto" w:val="clear"/>
          </w:rPr>
          <w:t xml:space="preserve">форме</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Выписка Пенсионного фонда РФ при этом не является документом, подтверждающим расходы налогоплательщика, а также основанием для предоставления социального налогового вычета по НДФЛ.</w:t>
      </w:r>
    </w:p>
    <w:p>
      <w:pPr>
        <w:spacing w:before="0" w:after="0" w:line="240"/>
        <w:ind w:right="0" w:left="0" w:firstLine="708"/>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Если форма 3-НДФЛ, заполненная в соответствии с указанной ложной инструкцией, уже была направлена в налоговый орган, следует представить уточненную декларацию, обнулив в ней сумму ошибочно заявленного вычета. Лица, которые по требованию налогового органа не предоставят уточненную налоговую декларацию, могут быть привлечены к налоговой ответственности по ст. </w:t>
      </w:r>
      <w:r>
        <w:rPr>
          <w:rFonts w:ascii="Times New Roman" w:hAnsi="Times New Roman" w:cs="Times New Roman" w:eastAsia="Times New Roman"/>
          <w:color w:val="auto"/>
          <w:spacing w:val="0"/>
          <w:position w:val="0"/>
          <w:sz w:val="26"/>
          <w:shd w:fill="auto" w:val="clear"/>
        </w:rPr>
        <w:t xml:space="preserve">129</w:t>
      </w:r>
      <w:r>
        <w:rPr>
          <w:rFonts w:ascii="Times New Roman" w:hAnsi="Times New Roman" w:cs="Times New Roman" w:eastAsia="Times New Roman"/>
          <w:color w:val="auto"/>
          <w:spacing w:val="0"/>
          <w:position w:val="0"/>
          <w:sz w:val="26"/>
          <w:shd w:fill="auto" w:val="clear"/>
          <w:vertAlign w:val="superscript"/>
        </w:rPr>
        <w:t xml:space="preserve">1</w:t>
      </w:r>
      <w:r>
        <w:rPr>
          <w:rFonts w:ascii="Times New Roman" w:hAnsi="Times New Roman" w:cs="Times New Roman" w:eastAsia="Times New Roman"/>
          <w:color w:val="000000"/>
          <w:spacing w:val="0"/>
          <w:position w:val="0"/>
          <w:sz w:val="26"/>
          <w:shd w:fill="auto" w:val="clear"/>
        </w:rPr>
        <w:t xml:space="preserve"> НК РФ на сумму 5 тыс. рублей.</w:t>
      </w:r>
    </w:p>
    <w:p>
      <w:pPr>
        <w:spacing w:before="0" w:after="0" w:line="240"/>
        <w:ind w:right="0" w:left="0" w:firstLine="708"/>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При неправомерном заявлении социального вычета налоговый орган откажет в его предоставлении, сформировав соответствующее решение по результатам проверки налоговой декларации.</w:t>
      </w:r>
    </w:p>
    <w:p>
      <w:pPr>
        <w:spacing w:before="0" w:after="0" w:line="240"/>
        <w:ind w:right="52" w:left="0" w:firstLine="709"/>
        <w:jc w:val="both"/>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Достоверную информацию о предоставляемых налоговых вычетах и порядке их получения можно найти в разделе </w:t>
      </w:r>
      <w:r>
        <w:rPr>
          <w:rFonts w:ascii="Times New Roman" w:hAnsi="Times New Roman" w:cs="Times New Roman" w:eastAsia="Times New Roman"/>
          <w:color w:val="000000"/>
          <w:spacing w:val="0"/>
          <w:position w:val="0"/>
          <w:sz w:val="26"/>
          <w:shd w:fill="auto" w:val="clear"/>
        </w:rPr>
        <w:t xml:space="preserve">«</w:t>
      </w:r>
      <w:hyperlink xmlns:r="http://schemas.openxmlformats.org/officeDocument/2006/relationships" r:id="docRId4">
        <w:r>
          <w:rPr>
            <w:rFonts w:ascii="Times New Roman" w:hAnsi="Times New Roman" w:cs="Times New Roman" w:eastAsia="Times New Roman"/>
            <w:color w:val="000000"/>
            <w:spacing w:val="0"/>
            <w:position w:val="0"/>
            <w:sz w:val="26"/>
            <w:u w:val="single"/>
            <w:shd w:fill="auto" w:val="clear"/>
          </w:rPr>
          <w:t xml:space="preserve">Налоговые вычеты</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сайта</w:t>
      </w:r>
      <w:r>
        <w:rPr>
          <w:rFonts w:ascii="Times New Roman" w:hAnsi="Times New Roman" w:cs="Times New Roman" w:eastAsia="Times New Roman"/>
          <w:b/>
          <w:color w:val="000000"/>
          <w:spacing w:val="0"/>
          <w:position w:val="0"/>
          <w:sz w:val="26"/>
          <w:shd w:fill="auto" w:val="clear"/>
        </w:rPr>
        <w:t xml:space="preserve"> </w:t>
      </w:r>
      <w:hyperlink xmlns:r="http://schemas.openxmlformats.org/officeDocument/2006/relationships" r:id="docRId5">
        <w:r>
          <w:rPr>
            <w:rFonts w:ascii="Times New Roman" w:hAnsi="Times New Roman" w:cs="Times New Roman" w:eastAsia="Times New Roman"/>
            <w:b/>
            <w:color w:val="000000"/>
            <w:spacing w:val="0"/>
            <w:position w:val="0"/>
            <w:sz w:val="26"/>
            <w:u w:val="single"/>
            <w:shd w:fill="auto" w:val="clear"/>
          </w:rPr>
          <w:t xml:space="preserve">www.nalog.gov.ru</w:t>
        </w:r>
      </w:hyperlink>
      <w:r>
        <w:rPr>
          <w:rFonts w:ascii="Times New Roman" w:hAnsi="Times New Roman" w:cs="Times New Roman" w:eastAsia="Times New Roman"/>
          <w:b/>
          <w:color w:val="000000"/>
          <w:spacing w:val="0"/>
          <w:position w:val="0"/>
          <w:sz w:val="26"/>
          <w:shd w:fill="auto" w:val="clear"/>
        </w:rPr>
        <w:t xml:space="preserve">.</w:t>
      </w:r>
    </w:p>
    <w:p>
      <w:pPr>
        <w:spacing w:before="0" w:after="0" w:line="240"/>
        <w:ind w:right="0" w:left="0" w:firstLine="0"/>
        <w:jc w:val="righ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Пресс-служба Межрайонной ИФНС России </w:t>
      </w:r>
      <w:r>
        <w:rPr>
          <w:rFonts w:ascii="Segoe UI Symbol" w:hAnsi="Segoe UI Symbol" w:cs="Segoe UI Symbol" w:eastAsia="Segoe UI Symbol"/>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 5 </w:t>
      </w:r>
      <w:r>
        <w:rPr>
          <w:rFonts w:ascii="Times New Roman" w:hAnsi="Times New Roman" w:cs="Times New Roman" w:eastAsia="Times New Roman"/>
          <w:b/>
          <w:color w:val="auto"/>
          <w:spacing w:val="0"/>
          <w:position w:val="0"/>
          <w:sz w:val="26"/>
          <w:shd w:fill="auto" w:val="clear"/>
        </w:rPr>
        <w:t xml:space="preserve">по Белгородской области</w:t>
      </w:r>
    </w:p>
    <w:p>
      <w:pPr>
        <w:spacing w:before="0" w:after="0" w:line="240"/>
        <w:ind w:right="0" w:left="0" w:firstLine="0"/>
        <w:jc w:val="right"/>
        <w:rPr>
          <w:rFonts w:ascii="Times New Roman" w:hAnsi="Times New Roman" w:cs="Times New Roman" w:eastAsia="Times New Roman"/>
          <w:b/>
          <w:color w:val="auto"/>
          <w:spacing w:val="0"/>
          <w:position w:val="0"/>
          <w:sz w:val="26"/>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Ю.А.Польская</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8(47245)56-8-74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lkfl2.nalog.ru/lkfl/login_" Id="docRId1" Type="http://schemas.openxmlformats.org/officeDocument/2006/relationships/hyperlink" /><Relationship TargetMode="External" Target="https://www.nalog.ru/rn77/about_fts/docs/3928855/_" Id="docRId3" Type="http://schemas.openxmlformats.org/officeDocument/2006/relationships/hyperlink" /><Relationship TargetMode="External" Target="http://www.nalog.gov.ru/" Id="docRId5" Type="http://schemas.openxmlformats.org/officeDocument/2006/relationships/hyperlink" /><Relationship Target="styles.xml" Id="docRId7" Type="http://schemas.openxmlformats.org/officeDocument/2006/relationships/styles" /><Relationship TargetMode="External" Target="http://www.gosuslugi.ru/" Id="docRId0" Type="http://schemas.openxmlformats.org/officeDocument/2006/relationships/hyperlink" /><Relationship TargetMode="External" Target="http://www.consultant.ru/document/cons_doc_LAW_76593/_" Id="docRId2" Type="http://schemas.openxmlformats.org/officeDocument/2006/relationships/hyperlink" /><Relationship TargetMode="External" Target="https://www.nalog.ru/rn77/taxation/taxes/ndfl/nalog_vichet/_" Id="docRId4" Type="http://schemas.openxmlformats.org/officeDocument/2006/relationships/hyperlink" /><Relationship Target="numbering.xml" Id="docRId6" Type="http://schemas.openxmlformats.org/officeDocument/2006/relationships/numbering" /></Relationships>
</file>