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14" w:rsidRDefault="009C3A14" w:rsidP="009C3A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9C3A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До конца года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белгородцы</w:t>
      </w:r>
      <w:r w:rsidRPr="009C3A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должны определиться со страховщиками, работающими с их накопительной пенсией</w:t>
      </w:r>
    </w:p>
    <w:bookmarkEnd w:id="0"/>
    <w:p w:rsidR="009C3A14" w:rsidRPr="00204BC6" w:rsidRDefault="00E77977" w:rsidP="00204BC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204BC6">
        <w:rPr>
          <w:sz w:val="26"/>
          <w:szCs w:val="26"/>
        </w:rPr>
        <w:t>В 20</w:t>
      </w:r>
      <w:r w:rsidRPr="00204BC6">
        <w:rPr>
          <w:sz w:val="26"/>
          <w:szCs w:val="26"/>
        </w:rPr>
        <w:t>20</w:t>
      </w:r>
      <w:r w:rsidRPr="00204BC6">
        <w:rPr>
          <w:sz w:val="26"/>
          <w:szCs w:val="26"/>
        </w:rPr>
        <w:t xml:space="preserve"> году кампания по приему заявлений о переводе средств пенсионных накоплений  из негосударственного пенсионного фонда в ПФР, из ПФР в НПФ или же из одного НПФ в другой заверши</w:t>
      </w:r>
      <w:r w:rsidRPr="00204BC6">
        <w:rPr>
          <w:sz w:val="26"/>
          <w:szCs w:val="26"/>
        </w:rPr>
        <w:t xml:space="preserve">тся </w:t>
      </w:r>
      <w:r w:rsidRPr="00204BC6">
        <w:rPr>
          <w:sz w:val="26"/>
          <w:szCs w:val="26"/>
        </w:rPr>
        <w:t>1 декабря.</w:t>
      </w:r>
      <w:r w:rsidRPr="00204BC6">
        <w:rPr>
          <w:sz w:val="26"/>
          <w:szCs w:val="26"/>
        </w:rPr>
        <w:t xml:space="preserve"> </w:t>
      </w:r>
      <w:r w:rsidR="009C3A14" w:rsidRPr="00204BC6">
        <w:rPr>
          <w:sz w:val="26"/>
          <w:szCs w:val="26"/>
        </w:rPr>
        <w:t xml:space="preserve">Заявления о переходе и досрочном переходе </w:t>
      </w:r>
      <w:r w:rsidRPr="00204BC6">
        <w:rPr>
          <w:sz w:val="26"/>
          <w:szCs w:val="26"/>
        </w:rPr>
        <w:t>можно подать в клиентской службе Управления ПФР</w:t>
      </w:r>
      <w:r w:rsidR="009C3A14" w:rsidRPr="00204BC6">
        <w:rPr>
          <w:sz w:val="26"/>
          <w:szCs w:val="26"/>
        </w:rPr>
        <w:t xml:space="preserve"> либо через Портал </w:t>
      </w:r>
      <w:proofErr w:type="spellStart"/>
      <w:r w:rsidR="009C3A14" w:rsidRPr="00204BC6">
        <w:rPr>
          <w:sz w:val="26"/>
          <w:szCs w:val="26"/>
        </w:rPr>
        <w:t>госуслуг</w:t>
      </w:r>
      <w:proofErr w:type="spellEnd"/>
      <w:r w:rsidR="009C3A14" w:rsidRPr="00204BC6">
        <w:rPr>
          <w:sz w:val="26"/>
          <w:szCs w:val="26"/>
        </w:rPr>
        <w:t xml:space="preserve"> (при наличии усиленной квалифицированной электронной подписи).</w:t>
      </w:r>
    </w:p>
    <w:p w:rsidR="00E77977" w:rsidRPr="00204BC6" w:rsidRDefault="00E77977" w:rsidP="00204BC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204BC6">
        <w:rPr>
          <w:sz w:val="26"/>
          <w:szCs w:val="26"/>
        </w:rPr>
        <w:t xml:space="preserve">В то же время у граждан есть возможность отозвать поданное заявление в течение месяца до 31 декабря. Для этого необходимо подать уведомление об отказе от смены страховщика в любую клиентскую службу Пенсионного фонда России или через личный кабинет на портале </w:t>
      </w:r>
      <w:proofErr w:type="spellStart"/>
      <w:r w:rsidRPr="00204BC6">
        <w:rPr>
          <w:sz w:val="26"/>
          <w:szCs w:val="26"/>
        </w:rPr>
        <w:t>Госуслуг</w:t>
      </w:r>
      <w:proofErr w:type="spellEnd"/>
      <w:r w:rsidRPr="00204BC6">
        <w:rPr>
          <w:sz w:val="26"/>
          <w:szCs w:val="26"/>
        </w:rPr>
        <w:t xml:space="preserve">. Уведомление в ПФР подается лично либо через представителя, для подачи уведомления через портал </w:t>
      </w:r>
      <w:proofErr w:type="spellStart"/>
      <w:r w:rsidRPr="00204BC6">
        <w:rPr>
          <w:sz w:val="26"/>
          <w:szCs w:val="26"/>
        </w:rPr>
        <w:t>Госуслуг</w:t>
      </w:r>
      <w:proofErr w:type="spellEnd"/>
      <w:r w:rsidRPr="00204BC6">
        <w:rPr>
          <w:sz w:val="26"/>
          <w:szCs w:val="26"/>
        </w:rPr>
        <w:t xml:space="preserve"> необходима электронная квалифицированная подпись. Она выдается удостоверяющими центрами, аккредитованными </w:t>
      </w:r>
      <w:proofErr w:type="spellStart"/>
      <w:r w:rsidRPr="00204BC6">
        <w:rPr>
          <w:sz w:val="26"/>
          <w:szCs w:val="26"/>
        </w:rPr>
        <w:t>Минкомсвязью</w:t>
      </w:r>
      <w:proofErr w:type="spellEnd"/>
      <w:r w:rsidRPr="00204BC6">
        <w:rPr>
          <w:sz w:val="26"/>
          <w:szCs w:val="26"/>
        </w:rPr>
        <w:t xml:space="preserve"> России.</w:t>
      </w:r>
    </w:p>
    <w:p w:rsidR="00204BC6" w:rsidRPr="00204BC6" w:rsidRDefault="00204BC6" w:rsidP="00204BC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204BC6">
        <w:rPr>
          <w:sz w:val="26"/>
          <w:szCs w:val="26"/>
        </w:rPr>
        <w:t>Данное уведомление позволит гражданам своевременно реагировать на заявления, поданные от их имени недобросовестными агентами НПФ, и отказаться от смены страховщика, тем самым избежав возможной потери инвестиционного дохода</w:t>
      </w:r>
      <w:r w:rsidRPr="00204BC6">
        <w:rPr>
          <w:sz w:val="26"/>
          <w:szCs w:val="26"/>
        </w:rPr>
        <w:t>.</w:t>
      </w:r>
    </w:p>
    <w:p w:rsidR="00204BC6" w:rsidRPr="00204BC6" w:rsidRDefault="00204BC6" w:rsidP="00204BC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204BC6">
        <w:rPr>
          <w:sz w:val="26"/>
          <w:szCs w:val="26"/>
        </w:rPr>
        <w:t xml:space="preserve">Несмотря на </w:t>
      </w:r>
      <w:r w:rsidRPr="00204BC6">
        <w:rPr>
          <w:sz w:val="26"/>
          <w:szCs w:val="26"/>
        </w:rPr>
        <w:t>то, что с 2019 года у граждан есть возможность изменить выбор</w:t>
      </w:r>
      <w:r w:rsidRPr="00204BC6">
        <w:rPr>
          <w:sz w:val="26"/>
          <w:szCs w:val="26"/>
        </w:rPr>
        <w:t>, не следует терять бдительность. Отделение ПФР по Белгородской области в очередной раз напоминает, что не следует сообщать свой СНИЛС</w:t>
      </w:r>
      <w:r w:rsidRPr="00204BC6">
        <w:rPr>
          <w:sz w:val="26"/>
          <w:szCs w:val="26"/>
        </w:rPr>
        <w:t xml:space="preserve"> малознакомым людям</w:t>
      </w:r>
      <w:r w:rsidRPr="00204BC6">
        <w:rPr>
          <w:sz w:val="26"/>
          <w:szCs w:val="26"/>
        </w:rPr>
        <w:t>, если вы не уверены, что это представитель госоргана или работодатель. Никогда не указывайте СНИЛС при его запросе на различных сайтах. Внимательно читайте подписываемые документы при поиске работы с помощью кадровых агентств, оформлении кредита или покупке мобильного телефона. Получив персональные данные, недобросовестные агенты и/или фонды могут фальсифицировать подписи граждан на документах и предоставлять их в ПФР.</w:t>
      </w:r>
    </w:p>
    <w:p w:rsidR="009C3A14" w:rsidRPr="00204BC6" w:rsidRDefault="009C3A14" w:rsidP="00204BC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204BC6">
        <w:rPr>
          <w:sz w:val="26"/>
          <w:szCs w:val="26"/>
        </w:rPr>
        <w:t xml:space="preserve">Если от имени гражданина в течение года подано несколько заявлений, ПФР примет решение по первому заявлению, другие заявления не подлежат рассмотрению. В Личном кабинете гражданина на официальном сайте ПФР и на Портале </w:t>
      </w:r>
      <w:proofErr w:type="spellStart"/>
      <w:r w:rsidRPr="00204BC6">
        <w:rPr>
          <w:sz w:val="26"/>
          <w:szCs w:val="26"/>
        </w:rPr>
        <w:t>госуслуг</w:t>
      </w:r>
      <w:proofErr w:type="spellEnd"/>
      <w:r w:rsidRPr="00204BC6">
        <w:rPr>
          <w:sz w:val="26"/>
          <w:szCs w:val="26"/>
        </w:rPr>
        <w:t xml:space="preserve"> можно проверить наличие заявлений переходной кампании 2020 года и при необходимости обратиться в учреждение ПФР, чтобы отменить ненужное заявление уведомлением об отказе от смены страховщика.</w:t>
      </w:r>
    </w:p>
    <w:p w:rsidR="009C3A14" w:rsidRPr="009C3A14" w:rsidRDefault="009C3A14" w:rsidP="009C3A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C4EE6" w:rsidRDefault="009C4EE6"/>
    <w:sectPr w:rsidR="009C4EE6" w:rsidSect="009C3A14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9E" w:rsidRDefault="00ED1F9E" w:rsidP="009C3A14">
      <w:pPr>
        <w:spacing w:after="0" w:line="240" w:lineRule="auto"/>
      </w:pPr>
      <w:r>
        <w:separator/>
      </w:r>
    </w:p>
  </w:endnote>
  <w:endnote w:type="continuationSeparator" w:id="0">
    <w:p w:rsidR="00ED1F9E" w:rsidRDefault="00ED1F9E" w:rsidP="009C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9E" w:rsidRDefault="00ED1F9E" w:rsidP="009C3A14">
      <w:pPr>
        <w:spacing w:after="0" w:line="240" w:lineRule="auto"/>
      </w:pPr>
      <w:r>
        <w:separator/>
      </w:r>
    </w:p>
  </w:footnote>
  <w:footnote w:type="continuationSeparator" w:id="0">
    <w:p w:rsidR="00ED1F9E" w:rsidRDefault="00ED1F9E" w:rsidP="009C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14" w:rsidRDefault="009C3A14">
    <w:pPr>
      <w:pStyle w:val="a4"/>
    </w:pPr>
    <w:r w:rsidRPr="009C3A14">
      <mc:AlternateContent>
        <mc:Choice Requires="wps">
          <w:drawing>
            <wp:anchor distT="0" distB="0" distL="114300" distR="114300" simplePos="0" relativeHeight="251659264" behindDoc="0" locked="0" layoutInCell="1" allowOverlap="1" wp14:anchorId="71A82630" wp14:editId="5ACDE4AA">
              <wp:simplePos x="0" y="0"/>
              <wp:positionH relativeFrom="column">
                <wp:posOffset>-15875</wp:posOffset>
              </wp:positionH>
              <wp:positionV relativeFrom="paragraph">
                <wp:posOffset>432435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34.05pt" to="458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" strokecolor="#4579b8 [3044]"/>
          </w:pict>
        </mc:Fallback>
      </mc:AlternateContent>
    </w:r>
    <w:r w:rsidRPr="009C3A14">
      <w:drawing>
        <wp:anchor distT="0" distB="0" distL="114300" distR="114300" simplePos="0" relativeHeight="251660288" behindDoc="1" locked="0" layoutInCell="1" allowOverlap="1" wp14:anchorId="0914C0AF" wp14:editId="7C30A7F4">
          <wp:simplePos x="0" y="0"/>
          <wp:positionH relativeFrom="column">
            <wp:posOffset>2522220</wp:posOffset>
          </wp:positionH>
          <wp:positionV relativeFrom="paragraph">
            <wp:posOffset>-175895</wp:posOffset>
          </wp:positionV>
          <wp:extent cx="561975" cy="561975"/>
          <wp:effectExtent l="0" t="0" r="9525" b="0"/>
          <wp:wrapTight wrapText="bothSides">
            <wp:wrapPolygon edited="0">
              <wp:start x="7322" y="1464"/>
              <wp:lineTo x="2197" y="8054"/>
              <wp:lineTo x="2929" y="20502"/>
              <wp:lineTo x="20502" y="20502"/>
              <wp:lineTo x="21234" y="11715"/>
              <wp:lineTo x="18305" y="7322"/>
              <wp:lineTo x="13180" y="1464"/>
              <wp:lineTo x="7322" y="146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14"/>
    <w:rsid w:val="001A3470"/>
    <w:rsid w:val="00204BC6"/>
    <w:rsid w:val="009C3A14"/>
    <w:rsid w:val="009C4EE6"/>
    <w:rsid w:val="00E77977"/>
    <w:rsid w:val="00E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A14"/>
  </w:style>
  <w:style w:type="paragraph" w:styleId="a6">
    <w:name w:val="footer"/>
    <w:basedOn w:val="a"/>
    <w:link w:val="a7"/>
    <w:uiPriority w:val="99"/>
    <w:unhideWhenUsed/>
    <w:rsid w:val="009C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A14"/>
  </w:style>
  <w:style w:type="paragraph" w:styleId="a6">
    <w:name w:val="footer"/>
    <w:basedOn w:val="a"/>
    <w:link w:val="a7"/>
    <w:uiPriority w:val="99"/>
    <w:unhideWhenUsed/>
    <w:rsid w:val="009C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2020-11-02T06:36:00Z</dcterms:created>
  <dcterms:modified xsi:type="dcterms:W3CDTF">2020-11-02T12:01:00Z</dcterms:modified>
</cp:coreProperties>
</file>